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07E" w:rsidRPr="00A6607E" w:rsidRDefault="00A6607E">
      <w:pPr>
        <w:rPr>
          <w:i/>
          <w:iCs/>
          <w:sz w:val="28"/>
          <w:szCs w:val="28"/>
        </w:rPr>
      </w:pPr>
      <w:r w:rsidRPr="00A6607E">
        <w:rPr>
          <w:i/>
          <w:iCs/>
          <w:sz w:val="28"/>
          <w:szCs w:val="28"/>
        </w:rPr>
        <w:t xml:space="preserve">FAQ da </w:t>
      </w:r>
      <w:r w:rsidRPr="00A6607E">
        <w:rPr>
          <w:i/>
          <w:iCs/>
          <w:sz w:val="28"/>
          <w:szCs w:val="28"/>
        </w:rPr>
        <w:t>Agência Nacional do Petróleo, Gás Natural e Biocombustíveis</w:t>
      </w:r>
      <w:r w:rsidRPr="00A6607E">
        <w:rPr>
          <w:i/>
          <w:iCs/>
          <w:sz w:val="28"/>
          <w:szCs w:val="28"/>
        </w:rPr>
        <w:t xml:space="preserve"> sobre o LMC</w:t>
      </w:r>
    </w:p>
    <w:p w:rsidR="00A6607E" w:rsidRDefault="00A6607E"/>
    <w:p w:rsidR="00A6607E" w:rsidRPr="00A6607E" w:rsidRDefault="00A6607E" w:rsidP="00A6607E">
      <w:pPr>
        <w:rPr>
          <w:rFonts w:ascii="Arial" w:hAnsi="Arial" w:cs="Arial"/>
          <w:b/>
          <w:bCs/>
        </w:rPr>
      </w:pPr>
      <w:r w:rsidRPr="00A6607E">
        <w:rPr>
          <w:rFonts w:ascii="Arial" w:hAnsi="Arial" w:cs="Arial"/>
          <w:b/>
          <w:bCs/>
        </w:rPr>
        <w:t>1) Como deve ser feita a escrituração do Livro de Movimentação de Combustíveis - LMC eletrônico?</w:t>
      </w:r>
    </w:p>
    <w:p w:rsidR="00A6607E" w:rsidRPr="00A6607E" w:rsidRDefault="00A6607E" w:rsidP="00A6607E">
      <w:pPr>
        <w:rPr>
          <w:rFonts w:ascii="Arial" w:hAnsi="Arial" w:cs="Arial"/>
        </w:rPr>
      </w:pPr>
      <w:r w:rsidRPr="00A6607E">
        <w:rPr>
          <w:rFonts w:ascii="Arial" w:hAnsi="Arial" w:cs="Arial"/>
        </w:rPr>
        <w:t>A escrituração eletrônica do LMC também deve seguir os dispositivos da Portaria DNC nº 26 de 13 de novembro de 1992.</w:t>
      </w:r>
    </w:p>
    <w:p w:rsidR="00A6607E" w:rsidRPr="00A6607E" w:rsidRDefault="00A6607E" w:rsidP="00A6607E">
      <w:pPr>
        <w:rPr>
          <w:rFonts w:ascii="Arial" w:hAnsi="Arial" w:cs="Arial"/>
          <w:b/>
          <w:bCs/>
        </w:rPr>
      </w:pPr>
      <w:r w:rsidRPr="00A6607E">
        <w:rPr>
          <w:rFonts w:ascii="Arial" w:hAnsi="Arial" w:cs="Arial"/>
          <w:b/>
          <w:bCs/>
        </w:rPr>
        <w:t>2) A encadernação deve ser feita por produto?</w:t>
      </w:r>
    </w:p>
    <w:p w:rsidR="00A6607E" w:rsidRPr="00A6607E" w:rsidRDefault="00A6607E" w:rsidP="00A6607E">
      <w:pPr>
        <w:rPr>
          <w:rFonts w:ascii="Arial" w:hAnsi="Arial" w:cs="Arial"/>
        </w:rPr>
      </w:pPr>
      <w:r w:rsidRPr="00A6607E">
        <w:rPr>
          <w:rFonts w:ascii="Arial" w:hAnsi="Arial" w:cs="Arial"/>
        </w:rPr>
        <w:t>Não há obrigatoriedade na legislação de que a encadernação seja feita por produto. No entanto, a ANP recomenda, por motivos de organização e facilidade de análise e manuseio, que a encadernação seja feita por produto, e no caso de escrituração eletrônica, que seja também mensal.</w:t>
      </w:r>
    </w:p>
    <w:p w:rsidR="00A6607E" w:rsidRPr="00A6607E" w:rsidRDefault="00A6607E" w:rsidP="00A6607E">
      <w:pPr>
        <w:rPr>
          <w:rFonts w:ascii="Arial" w:hAnsi="Arial" w:cs="Arial"/>
          <w:b/>
          <w:bCs/>
        </w:rPr>
      </w:pPr>
      <w:r w:rsidRPr="00A6607E">
        <w:rPr>
          <w:rFonts w:ascii="Arial" w:hAnsi="Arial" w:cs="Arial"/>
          <w:b/>
          <w:bCs/>
        </w:rPr>
        <w:t>3) Por quanto tempo os Livros devem estar disponíveis no posto revendedor para fins de fiscalização?</w:t>
      </w:r>
    </w:p>
    <w:p w:rsidR="00A6607E" w:rsidRPr="00A6607E" w:rsidRDefault="00A6607E" w:rsidP="00A6607E">
      <w:pPr>
        <w:rPr>
          <w:rFonts w:ascii="Arial" w:hAnsi="Arial" w:cs="Arial"/>
        </w:rPr>
      </w:pPr>
      <w:r w:rsidRPr="00A6607E">
        <w:rPr>
          <w:rFonts w:ascii="Arial" w:hAnsi="Arial" w:cs="Arial"/>
        </w:rPr>
        <w:t>O posto revendedor deve manter em seu estabelecimento o LMC de cada produto dos últimos 6 (seis) meses.</w:t>
      </w:r>
    </w:p>
    <w:p w:rsidR="00A6607E" w:rsidRPr="00A6607E" w:rsidRDefault="00A6607E" w:rsidP="00A6607E">
      <w:pPr>
        <w:rPr>
          <w:rFonts w:ascii="Arial" w:hAnsi="Arial" w:cs="Arial"/>
          <w:b/>
          <w:bCs/>
        </w:rPr>
      </w:pPr>
      <w:r w:rsidRPr="00A6607E">
        <w:rPr>
          <w:rFonts w:ascii="Arial" w:hAnsi="Arial" w:cs="Arial"/>
          <w:b/>
          <w:bCs/>
        </w:rPr>
        <w:t>4) É necessário autenticar as páginas do Livro de Movimentação de Combustíveis - LMC?</w:t>
      </w:r>
    </w:p>
    <w:p w:rsidR="00A6607E" w:rsidRPr="00A6607E" w:rsidRDefault="00A6607E" w:rsidP="00A6607E">
      <w:pPr>
        <w:rPr>
          <w:rFonts w:ascii="Arial" w:hAnsi="Arial" w:cs="Arial"/>
        </w:rPr>
      </w:pPr>
      <w:r w:rsidRPr="00A6607E">
        <w:rPr>
          <w:rFonts w:ascii="Arial" w:hAnsi="Arial" w:cs="Arial"/>
        </w:rPr>
        <w:t>Não, o que é obrigatório é a assinatura do representante legal do posto revendedor nos termos de abertura e fechamento de cada produto.</w:t>
      </w:r>
    </w:p>
    <w:p w:rsidR="00A6607E" w:rsidRPr="00A6607E" w:rsidRDefault="00A6607E" w:rsidP="00A6607E">
      <w:pPr>
        <w:rPr>
          <w:rFonts w:ascii="Arial" w:hAnsi="Arial" w:cs="Arial"/>
          <w:b/>
          <w:bCs/>
        </w:rPr>
      </w:pPr>
      <w:r w:rsidRPr="00A6607E">
        <w:rPr>
          <w:rFonts w:ascii="Arial" w:hAnsi="Arial" w:cs="Arial"/>
          <w:b/>
          <w:bCs/>
        </w:rPr>
        <w:t>5) Como devem ser registradas no Livro de Movimentação de Combustíveis - LMC as perdas e sobras de combustível?</w:t>
      </w:r>
    </w:p>
    <w:p w:rsidR="00A6607E" w:rsidRPr="00A6607E" w:rsidRDefault="00A6607E" w:rsidP="00A6607E">
      <w:pPr>
        <w:rPr>
          <w:rFonts w:ascii="Arial" w:hAnsi="Arial" w:cs="Arial"/>
        </w:rPr>
      </w:pPr>
      <w:r w:rsidRPr="00A6607E">
        <w:rPr>
          <w:rFonts w:ascii="Arial" w:hAnsi="Arial" w:cs="Arial"/>
        </w:rPr>
        <w:t xml:space="preserve">O LMC possui campo próprio para o preenchimento das notas fiscais de entrada e saída de produto, leitura dos </w:t>
      </w:r>
      <w:proofErr w:type="spellStart"/>
      <w:r w:rsidRPr="00A6607E">
        <w:rPr>
          <w:rFonts w:ascii="Arial" w:hAnsi="Arial" w:cs="Arial"/>
        </w:rPr>
        <w:t>encerrantes</w:t>
      </w:r>
      <w:proofErr w:type="spellEnd"/>
      <w:r w:rsidRPr="00A6607E">
        <w:rPr>
          <w:rFonts w:ascii="Arial" w:hAnsi="Arial" w:cs="Arial"/>
        </w:rPr>
        <w:t xml:space="preserve"> (o que gera o estoque contábil) e para a leitura do estoque físico diário de cada tanque. Vale ressaltar que a diferença entre o estoque físico e o contábil representa as perdas e sobras </w:t>
      </w:r>
      <w:r w:rsidRPr="00A6607E">
        <w:rPr>
          <w:rFonts w:ascii="Arial" w:hAnsi="Arial" w:cs="Arial"/>
        </w:rPr>
        <w:t>do produto</w:t>
      </w:r>
      <w:r w:rsidRPr="00A6607E">
        <w:rPr>
          <w:rFonts w:ascii="Arial" w:hAnsi="Arial" w:cs="Arial"/>
        </w:rPr>
        <w:t xml:space="preserve"> comercializado diariamente, que não pode ser superior a 0,6%.</w:t>
      </w:r>
    </w:p>
    <w:p w:rsidR="00A6607E" w:rsidRPr="00A6607E" w:rsidRDefault="00A6607E" w:rsidP="00A6607E">
      <w:pPr>
        <w:rPr>
          <w:rFonts w:ascii="Arial" w:hAnsi="Arial" w:cs="Arial"/>
          <w:b/>
          <w:bCs/>
        </w:rPr>
      </w:pPr>
      <w:r w:rsidRPr="00A6607E">
        <w:rPr>
          <w:rFonts w:ascii="Arial" w:hAnsi="Arial" w:cs="Arial"/>
          <w:b/>
          <w:bCs/>
        </w:rPr>
        <w:t>6) O gás natural veicular (GNV) precisa ser registrado no Livro de Movimentação de Combustíveis - LMC? Por quê?</w:t>
      </w:r>
    </w:p>
    <w:p w:rsidR="00A6607E" w:rsidRPr="00A6607E" w:rsidRDefault="00A6607E" w:rsidP="00A6607E">
      <w:pPr>
        <w:rPr>
          <w:rFonts w:ascii="Arial" w:hAnsi="Arial" w:cs="Arial"/>
        </w:rPr>
      </w:pPr>
      <w:r w:rsidRPr="00A6607E">
        <w:rPr>
          <w:rFonts w:ascii="Arial" w:hAnsi="Arial" w:cs="Arial"/>
        </w:rPr>
        <w:t>Não. Um dos principais objetivos do LMC é a análise dos estoques de produto, e não há estoque de GNV, apenas fluxo do que é comercializado pelo posto revendedor.</w:t>
      </w:r>
    </w:p>
    <w:p w:rsidR="00A6607E" w:rsidRPr="00A6607E" w:rsidRDefault="00A6607E" w:rsidP="00A6607E">
      <w:pPr>
        <w:rPr>
          <w:rFonts w:ascii="Arial" w:hAnsi="Arial" w:cs="Arial"/>
          <w:b/>
          <w:bCs/>
        </w:rPr>
      </w:pPr>
      <w:r w:rsidRPr="00A6607E">
        <w:rPr>
          <w:rFonts w:ascii="Arial" w:hAnsi="Arial" w:cs="Arial"/>
          <w:b/>
          <w:bCs/>
        </w:rPr>
        <w:t>7) Como deve ser registrado o produto que é retirado para reprocessamento?</w:t>
      </w:r>
    </w:p>
    <w:p w:rsidR="00A6607E" w:rsidRPr="00A6607E" w:rsidRDefault="00A6607E" w:rsidP="00A6607E">
      <w:pPr>
        <w:rPr>
          <w:rFonts w:ascii="Arial" w:hAnsi="Arial" w:cs="Arial"/>
        </w:rPr>
      </w:pPr>
      <w:r w:rsidRPr="00A6607E">
        <w:rPr>
          <w:rFonts w:ascii="Arial" w:hAnsi="Arial" w:cs="Arial"/>
        </w:rPr>
        <w:t>O campo de observações do Livro de Movimentação de Combustíveis - LMC deve ser utilizado para o registro do produto reprocessado. Também deve ser comunicado à ANP solicitação de retirada do produto para reprocessamento.</w:t>
      </w:r>
    </w:p>
    <w:p w:rsidR="00A6607E" w:rsidRPr="00A6607E" w:rsidRDefault="00A6607E" w:rsidP="00A6607E">
      <w:pPr>
        <w:rPr>
          <w:rFonts w:ascii="Arial" w:hAnsi="Arial" w:cs="Arial"/>
          <w:b/>
          <w:bCs/>
        </w:rPr>
      </w:pPr>
      <w:r w:rsidRPr="00A6607E">
        <w:rPr>
          <w:rFonts w:ascii="Arial" w:hAnsi="Arial" w:cs="Arial"/>
          <w:b/>
          <w:bCs/>
        </w:rPr>
        <w:t>8) Como deve ser feita a numeração das folhas do Livro de Movimentação de Combustíveis - LMC? O termo de abertura deve ser considerado como a primeira página?</w:t>
      </w:r>
    </w:p>
    <w:p w:rsidR="00A6607E" w:rsidRPr="00A6607E" w:rsidRDefault="00A6607E" w:rsidP="00A6607E">
      <w:pPr>
        <w:rPr>
          <w:rFonts w:ascii="Arial" w:hAnsi="Arial" w:cs="Arial"/>
        </w:rPr>
      </w:pPr>
      <w:r w:rsidRPr="00A6607E">
        <w:rPr>
          <w:rFonts w:ascii="Arial" w:hAnsi="Arial" w:cs="Arial"/>
        </w:rPr>
        <w:t>A numeração deve ser crescente e sequencial por folha. O termo de abertura pode ser incluído nesta numeração.</w:t>
      </w:r>
    </w:p>
    <w:p w:rsidR="00A6607E" w:rsidRPr="00A6607E" w:rsidRDefault="00A6607E" w:rsidP="00A6607E">
      <w:pPr>
        <w:rPr>
          <w:rFonts w:ascii="Arial" w:hAnsi="Arial" w:cs="Arial"/>
          <w:b/>
          <w:bCs/>
        </w:rPr>
      </w:pPr>
      <w:r w:rsidRPr="00A6607E">
        <w:rPr>
          <w:rFonts w:ascii="Arial" w:hAnsi="Arial" w:cs="Arial"/>
          <w:b/>
          <w:bCs/>
        </w:rPr>
        <w:lastRenderedPageBreak/>
        <w:t>9) Há alguma modificação na escrituração do Livro de Movimentação de Combustíveis - LMC com o advento da nota fiscal eletrônica?</w:t>
      </w:r>
    </w:p>
    <w:p w:rsidR="00A6607E" w:rsidRPr="00A6607E" w:rsidRDefault="00A6607E" w:rsidP="00A6607E">
      <w:pPr>
        <w:rPr>
          <w:rFonts w:ascii="Arial" w:hAnsi="Arial" w:cs="Arial"/>
        </w:rPr>
      </w:pPr>
      <w:r w:rsidRPr="00A6607E">
        <w:rPr>
          <w:rFonts w:ascii="Arial" w:hAnsi="Arial" w:cs="Arial"/>
        </w:rPr>
        <w:t>Não. As notas devem ser preenchidas da mesma forma, com numeração e quantidade de produto adquirido.</w:t>
      </w:r>
    </w:p>
    <w:p w:rsidR="00A6607E" w:rsidRPr="00A6607E" w:rsidRDefault="00A6607E" w:rsidP="00A6607E">
      <w:pPr>
        <w:rPr>
          <w:rFonts w:ascii="Arial" w:hAnsi="Arial" w:cs="Arial"/>
          <w:b/>
          <w:bCs/>
        </w:rPr>
      </w:pPr>
      <w:r w:rsidRPr="00A6607E">
        <w:rPr>
          <w:rFonts w:ascii="Arial" w:hAnsi="Arial" w:cs="Arial"/>
          <w:b/>
          <w:bCs/>
        </w:rPr>
        <w:t>10) Como deve ser lançado o produto biodiesel no Livro de Movimentação de Combustíveis - LMC?</w:t>
      </w:r>
    </w:p>
    <w:p w:rsidR="00A6607E" w:rsidRPr="00A6607E" w:rsidRDefault="00A6607E" w:rsidP="00A6607E">
      <w:pPr>
        <w:rPr>
          <w:rFonts w:ascii="Arial" w:hAnsi="Arial" w:cs="Arial"/>
        </w:rPr>
      </w:pPr>
      <w:r w:rsidRPr="00A6607E">
        <w:rPr>
          <w:rFonts w:ascii="Arial" w:hAnsi="Arial" w:cs="Arial"/>
        </w:rPr>
        <w:t>O produto deve ser lançado como mistura óleo diesel / biodiesel.</w:t>
      </w:r>
    </w:p>
    <w:p w:rsidR="00A6607E" w:rsidRPr="00A6607E" w:rsidRDefault="00A6607E" w:rsidP="00A6607E">
      <w:pPr>
        <w:rPr>
          <w:rFonts w:ascii="Arial" w:hAnsi="Arial" w:cs="Arial"/>
          <w:b/>
          <w:bCs/>
        </w:rPr>
      </w:pPr>
      <w:r w:rsidRPr="00A6607E">
        <w:rPr>
          <w:rFonts w:ascii="Arial" w:hAnsi="Arial" w:cs="Arial"/>
          <w:b/>
          <w:bCs/>
        </w:rPr>
        <w:t>11) Como proceder quando da retirada do Livro de Movimentação de Combustíveis - LMC pela fiscalização ou pela Secretaria de Fazenda?</w:t>
      </w:r>
    </w:p>
    <w:p w:rsidR="00A6607E" w:rsidRDefault="00A6607E" w:rsidP="00A6607E">
      <w:pPr>
        <w:rPr>
          <w:rFonts w:ascii="Arial" w:hAnsi="Arial" w:cs="Arial"/>
        </w:rPr>
      </w:pPr>
      <w:r w:rsidRPr="00A6607E">
        <w:rPr>
          <w:rFonts w:ascii="Arial" w:hAnsi="Arial" w:cs="Arial"/>
        </w:rPr>
        <w:t xml:space="preserve">A fiscalização da ANP não solicita os Livros de Movimentação de Combustíveis originais. Em caso de fiscalização no próprio PR, o agente de fiscalização da ANP analisará os livros originais, e no caso de notificação para apresentação dos livros na ANP, o agente econômico deverá enviar a cópia dos </w:t>
      </w:r>
      <w:proofErr w:type="spellStart"/>
      <w:r w:rsidRPr="00A6607E">
        <w:rPr>
          <w:rFonts w:ascii="Arial" w:hAnsi="Arial" w:cs="Arial"/>
        </w:rPr>
        <w:t>LMCs</w:t>
      </w:r>
      <w:proofErr w:type="spellEnd"/>
      <w:r w:rsidRPr="00A6607E">
        <w:rPr>
          <w:rFonts w:ascii="Arial" w:hAnsi="Arial" w:cs="Arial"/>
        </w:rPr>
        <w:t xml:space="preserve">. A eventual retirada, pela Secretaria de Fazenda, do Livro de Movimentação de Combustíveis (LMC) das instalações do posto revendedor para análise deverá ser protocolada, e o registro protocolado guardado para posterior comprovação caso ocorra alguma ação de fiscalização de agente da ANP no período de retirada do LMC. Este documento terá validade até o fim do mês </w:t>
      </w:r>
      <w:r w:rsidRPr="00A6607E">
        <w:rPr>
          <w:rFonts w:ascii="Arial" w:hAnsi="Arial" w:cs="Arial"/>
        </w:rPr>
        <w:t>subsequente</w:t>
      </w:r>
      <w:r w:rsidRPr="00A6607E">
        <w:rPr>
          <w:rFonts w:ascii="Arial" w:hAnsi="Arial" w:cs="Arial"/>
        </w:rPr>
        <w:t xml:space="preserve"> ao recolhimento do Livro, junto a Secretaria da Fazenda. Findo este período, o LMC deverá retornar ao estabelecimento.</w:t>
      </w:r>
    </w:p>
    <w:p w:rsidR="00A6607E" w:rsidRDefault="00A6607E" w:rsidP="00A6607E">
      <w:pPr>
        <w:rPr>
          <w:rFonts w:ascii="Arial" w:hAnsi="Arial" w:cs="Arial"/>
        </w:rPr>
      </w:pPr>
    </w:p>
    <w:p w:rsidR="00A6607E" w:rsidRPr="00A6607E" w:rsidRDefault="00A6607E" w:rsidP="00A660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Fonte: </w:t>
      </w:r>
      <w:r w:rsidRPr="00A6607E">
        <w:rPr>
          <w:rFonts w:ascii="Arial" w:hAnsi="Arial" w:cs="Arial"/>
        </w:rPr>
        <w:t>https://www.gov.br/anp/pt-br/acesso-a-informacao/perguntas-frequentes/agente-economico/livro-de-movimentacao-de-combustiveis</w:t>
      </w:r>
    </w:p>
    <w:sectPr w:rsidR="00A6607E" w:rsidRPr="00A66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E436C"/>
    <w:multiLevelType w:val="multilevel"/>
    <w:tmpl w:val="987A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308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7E"/>
    <w:rsid w:val="00A6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04A6"/>
  <w15:chartTrackingRefBased/>
  <w15:docId w15:val="{E12D36C2-E98A-4BDC-88A8-546052C5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607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6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20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8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5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7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1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9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68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4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9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55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2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9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7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6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6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3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17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3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4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77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Alves De Oliveira Neto</dc:creator>
  <cp:keywords/>
  <dc:description/>
  <cp:lastModifiedBy>Elcio Alves De Oliveira Neto</cp:lastModifiedBy>
  <cp:revision>1</cp:revision>
  <dcterms:created xsi:type="dcterms:W3CDTF">2023-05-29T17:36:00Z</dcterms:created>
  <dcterms:modified xsi:type="dcterms:W3CDTF">2023-05-29T17:43:00Z</dcterms:modified>
</cp:coreProperties>
</file>